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7861" w:rsidRPr="00196DC0" w:rsidRDefault="00427861" w:rsidP="00932498">
      <w:pPr>
        <w:jc w:val="center"/>
        <w:rPr>
          <w:rFonts w:ascii="標楷體" w:eastAsia="標楷體" w:hAnsi="標楷體"/>
          <w:color w:val="3C7483" w:themeColor="accent3" w:themeShade="80"/>
          <w:sz w:val="52"/>
          <w:szCs w:val="52"/>
        </w:rPr>
      </w:pPr>
      <w:r w:rsidRPr="00196DC0">
        <w:rPr>
          <w:rFonts w:ascii="標楷體" w:eastAsia="標楷體" w:hAnsi="標楷體" w:hint="eastAsia"/>
          <w:color w:val="3C7483" w:themeColor="accent3" w:themeShade="80"/>
          <w:sz w:val="52"/>
          <w:szCs w:val="52"/>
        </w:rPr>
        <w:t>勞工退休金條例</w:t>
      </w:r>
    </w:p>
    <w:p w:rsidR="00427861" w:rsidRPr="00196DC0" w:rsidRDefault="00427861" w:rsidP="00932498">
      <w:pPr>
        <w:jc w:val="right"/>
        <w:rPr>
          <w:color w:val="C0BEAF" w:themeColor="accent4"/>
          <w:sz w:val="22"/>
        </w:rPr>
      </w:pPr>
      <w:r w:rsidRPr="00196DC0">
        <w:rPr>
          <w:rFonts w:hint="eastAsia"/>
          <w:color w:val="C0BEAF" w:themeColor="accent4"/>
          <w:sz w:val="22"/>
        </w:rPr>
        <w:t>中華民國九十三年六月三十日總統令公布</w:t>
      </w:r>
    </w:p>
    <w:p w:rsidR="00427861" w:rsidRPr="00196DC0" w:rsidRDefault="00582E18" w:rsidP="0005659C">
      <w:pPr>
        <w:ind w:firstLine="480"/>
        <w:rPr>
          <w:color w:val="796F39" w:themeColor="accent5" w:themeShade="80"/>
        </w:rPr>
      </w:pPr>
      <w:bookmarkStart w:id="0" w:name="_GoBack"/>
      <w:bookmarkEnd w:id="0"/>
      <w:r w:rsidRPr="00196DC0">
        <w:rPr>
          <w:rFonts w:hint="eastAsia"/>
          <w:color w:val="796F39" w:themeColor="accent5" w:themeShade="80"/>
        </w:rPr>
        <w:t>第一條</w:t>
      </w:r>
      <w:r w:rsidR="00427861" w:rsidRPr="00196DC0">
        <w:rPr>
          <w:rFonts w:hint="eastAsia"/>
          <w:color w:val="796F39" w:themeColor="accent5" w:themeShade="80"/>
        </w:rPr>
        <w:t>為增進勞工退休生活保障，加強勞雇關係，促進社會及經濟發展，特制定本條例。勞工退休金事項，優先適用本條例。本條例未規定者，適用其他法律之規定。</w:t>
      </w:r>
    </w:p>
    <w:p w:rsidR="00427861" w:rsidRPr="00196DC0" w:rsidRDefault="00205E91" w:rsidP="0005659C">
      <w:pPr>
        <w:ind w:firstLine="480"/>
        <w:rPr>
          <w:color w:val="796F39" w:themeColor="accent5" w:themeShade="80"/>
        </w:rPr>
      </w:pPr>
      <w:r>
        <w:rPr>
          <w:rFonts w:hint="eastAsia"/>
          <w:noProof/>
          <w:color w:val="796F39" w:themeColor="accent5" w:themeShade="80"/>
        </w:rPr>
        <mc:AlternateContent>
          <mc:Choice Requires="wps">
            <w:drawing>
              <wp:anchor distT="0" distB="0" distL="114300" distR="114300" simplePos="0" relativeHeight="251660288" behindDoc="0" locked="0" layoutInCell="1" allowOverlap="1" wp14:anchorId="5F397A36" wp14:editId="3B12633A">
                <wp:simplePos x="0" y="0"/>
                <wp:positionH relativeFrom="column">
                  <wp:posOffset>428398</wp:posOffset>
                </wp:positionH>
                <wp:positionV relativeFrom="paragraph">
                  <wp:posOffset>-900752</wp:posOffset>
                </wp:positionV>
                <wp:extent cx="1419367" cy="1419367"/>
                <wp:effectExtent l="76200" t="57150" r="104775" b="1419225"/>
                <wp:wrapNone/>
                <wp:docPr id="14" name="禁止標誌 14"/>
                <wp:cNvGraphicFramePr/>
                <a:graphic xmlns:a="http://schemas.openxmlformats.org/drawingml/2006/main">
                  <a:graphicData uri="http://schemas.microsoft.com/office/word/2010/wordprocessingShape">
                    <wps:wsp>
                      <wps:cNvSpPr/>
                      <wps:spPr>
                        <a:xfrm>
                          <a:off x="0" y="0"/>
                          <a:ext cx="1419367" cy="1419367"/>
                        </a:xfrm>
                        <a:prstGeom prst="noSmoking">
                          <a:avLst>
                            <a:gd name="adj" fmla="val 11997"/>
                          </a:avLst>
                        </a:prstGeom>
                        <a:ln>
                          <a:solidFill>
                            <a:srgbClr val="0070C0"/>
                          </a:solidFill>
                        </a:ln>
                        <a:effectLst>
                          <a:outerShdw blurRad="50800" dist="38100" dir="5400000" rotWithShape="0">
                            <a:srgbClr val="000000">
                              <a:alpha val="43137"/>
                            </a:srgbClr>
                          </a:outerShdw>
                          <a:reflection blurRad="6350" stA="50000" endA="300" endPos="90000" dir="5400000" sy="-100000" algn="bl" rotWithShape="0"/>
                        </a:effectLst>
                      </wps:spPr>
                      <wps:style>
                        <a:lnRef idx="0">
                          <a:schemeClr val="accent4"/>
                        </a:lnRef>
                        <a:fillRef idx="3">
                          <a:schemeClr val="accent4"/>
                        </a:fillRef>
                        <a:effectRef idx="3">
                          <a:schemeClr val="accent4"/>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57" coordsize="21600,21600" o:spt="57" adj="2700" path="m,10800qy10800,,21600,10800,10800,21600,,10800xar@0@0@16@16@12@14@15@13xar@0@0@16@16@13@15@14@12xe">
                <v:stroke joinstyle="miter"/>
                <v:formulas>
                  <v:f eqn="val #0"/>
                  <v:f eqn="prod @0 2 1"/>
                  <v:f eqn="sum 21600 0 @1"/>
                  <v:f eqn="prod @2 @2 1"/>
                  <v:f eqn="prod @0 @0 1"/>
                  <v:f eqn="sum @3 0 @4"/>
                  <v:f eqn="prod @5 1 8"/>
                  <v:f eqn="sqrt @6"/>
                  <v:f eqn="prod @4 1 8"/>
                  <v:f eqn="sqrt @8"/>
                  <v:f eqn="sum @7 @9 0"/>
                  <v:f eqn="sum @7 0 @9"/>
                  <v:f eqn="sum @10 10800 0"/>
                  <v:f eqn="sum 10800 0 @10"/>
                  <v:f eqn="sum @11 10800 0"/>
                  <v:f eqn="sum 10800 0 @11"/>
                  <v:f eqn="sum 21600 0 @0"/>
                </v:formulas>
                <v:path o:connecttype="custom" o:connectlocs="10800,0;3163,3163;0,10800;3163,18437;10800,21600;18437,18437;21600,10800;18437,3163" textboxrect="3163,3163,18437,18437"/>
                <v:handles>
                  <v:h position="#0,center" xrange="0,7200"/>
                </v:handles>
              </v:shapetype>
              <v:shape id="禁止標誌 14" o:spid="_x0000_s1026" type="#_x0000_t57" style="position:absolute;margin-left:33.75pt;margin-top:-70.95pt;width:111.75pt;height:111.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" adj="2591" fillcolor="#76735d [1863]" strokecolor="#0070c0">
                <v:fill color2="#cccabe [2583]" rotate="t" angle="180" colors="0 #9a9785;47186f #cac8b7;1 #d2d0bf" focus="100%" type="gradient">
                  <o:fill v:ext="view" type="gradientUnscaled"/>
                </v:fill>
                <v:shadow on="t" color="black" opacity="28270f" origin=",.5" offset="0,3pt"/>
              </v:shape>
            </w:pict>
          </mc:Fallback>
        </mc:AlternateContent>
      </w:r>
      <w:r w:rsidR="00582E18" w:rsidRPr="00196DC0">
        <w:rPr>
          <w:rFonts w:hint="eastAsia"/>
          <w:color w:val="796F39" w:themeColor="accent5" w:themeShade="80"/>
        </w:rPr>
        <w:t>第二條</w:t>
      </w:r>
      <w:r w:rsidR="00427861" w:rsidRPr="00196DC0">
        <w:rPr>
          <w:rFonts w:hint="eastAsia"/>
          <w:color w:val="796F39" w:themeColor="accent5" w:themeShade="80"/>
        </w:rPr>
        <w:t>本條例所稱主管機關：在中央為行政院勞工委員會；在直轄市為直轄市政府；在縣（市）為縣（市）政府。</w:t>
      </w:r>
    </w:p>
    <w:p w:rsidR="006200EE" w:rsidRPr="006200EE" w:rsidRDefault="00582E18" w:rsidP="006200EE">
      <w:pPr>
        <w:ind w:firstLine="480"/>
        <w:rPr>
          <w:color w:val="796F39" w:themeColor="accent5" w:themeShade="80"/>
        </w:rPr>
      </w:pPr>
      <w:r w:rsidRPr="00196DC0">
        <w:rPr>
          <w:rFonts w:hint="eastAsia"/>
          <w:color w:val="796F39" w:themeColor="accent5" w:themeShade="80"/>
        </w:rPr>
        <w:t>第三條</w:t>
      </w:r>
      <w:r w:rsidR="00427861" w:rsidRPr="00196DC0">
        <w:rPr>
          <w:rFonts w:hint="eastAsia"/>
          <w:color w:val="796F39" w:themeColor="accent5" w:themeShade="80"/>
        </w:rPr>
        <w:t>本條例所稱勞工、雇主、事業單位、勞動契約、工資及平均工資之定義，依勞動基準法第二條規定。</w:t>
      </w:r>
    </w:p>
    <w:p w:rsidR="00427861" w:rsidRPr="00196DC0" w:rsidRDefault="00582E18" w:rsidP="0005659C">
      <w:pPr>
        <w:ind w:firstLine="480"/>
        <w:rPr>
          <w:color w:val="796F39" w:themeColor="accent5" w:themeShade="80"/>
        </w:rPr>
      </w:pPr>
      <w:r w:rsidRPr="00196DC0">
        <w:rPr>
          <w:rFonts w:hint="eastAsia"/>
          <w:color w:val="796F39" w:themeColor="accent5" w:themeShade="80"/>
        </w:rPr>
        <w:t>第四條</w:t>
      </w:r>
      <w:r w:rsidR="00427861" w:rsidRPr="00196DC0">
        <w:rPr>
          <w:rFonts w:hint="eastAsia"/>
          <w:color w:val="796F39" w:themeColor="accent5" w:themeShade="80"/>
        </w:rPr>
        <w:t>中央主管機關為勞工退休基金之審議、監督、考核以及有關本條例年金保險之實施，應組成勞工退休基金監理委員會（以下稱監理會）。監理會應獨立行使職權，其組織、會議及其他相關事項，另以法律定之。監理會成立後，勞動基準法第五十六條第二項規定勞工退休基金管理業務，歸入監理會統籌辦理。</w:t>
      </w:r>
    </w:p>
    <w:p w:rsidR="00427861" w:rsidRPr="00196DC0" w:rsidRDefault="00582E18" w:rsidP="0005659C">
      <w:pPr>
        <w:ind w:firstLine="480"/>
        <w:rPr>
          <w:color w:val="796F39" w:themeColor="accent5" w:themeShade="80"/>
        </w:rPr>
      </w:pPr>
      <w:r w:rsidRPr="00196DC0">
        <w:rPr>
          <w:rFonts w:hint="eastAsia"/>
          <w:color w:val="796F39" w:themeColor="accent5" w:themeShade="80"/>
        </w:rPr>
        <w:t>第五條</w:t>
      </w:r>
      <w:r w:rsidR="00427861" w:rsidRPr="00196DC0">
        <w:rPr>
          <w:rFonts w:hint="eastAsia"/>
          <w:color w:val="796F39" w:themeColor="accent5" w:themeShade="80"/>
        </w:rPr>
        <w:t>勞工退休金之收支、保管、滯納金之加徵、罰鍰處分及其強制執行等業務，由中央主管機關委任勞工保險局（以下稱勞保局）辦理之。</w:t>
      </w:r>
    </w:p>
    <w:p w:rsidR="009A2DDA" w:rsidRPr="00196DC0" w:rsidRDefault="00582E18" w:rsidP="0005659C">
      <w:pPr>
        <w:ind w:firstLine="480"/>
        <w:rPr>
          <w:color w:val="796F39" w:themeColor="accent5" w:themeShade="80"/>
        </w:rPr>
      </w:pPr>
      <w:r w:rsidRPr="00196DC0">
        <w:rPr>
          <w:rFonts w:hint="eastAsia"/>
          <w:color w:val="796F39" w:themeColor="accent5" w:themeShade="80"/>
        </w:rPr>
        <w:t>第六條</w:t>
      </w:r>
      <w:r w:rsidR="00427861" w:rsidRPr="00196DC0">
        <w:rPr>
          <w:rFonts w:hint="eastAsia"/>
          <w:color w:val="796F39" w:themeColor="accent5" w:themeShade="80"/>
        </w:rPr>
        <w:t>雇主應為適用本條例之勞工，按月提繳退休金，儲存於勞保局設立之勞工退休金個人專戶。除本條例另有規定者外，雇主不得以其他自訂之勞工退休金辦法，取代前項規定之勞工退休金制度。</w:t>
      </w:r>
    </w:p>
    <w:p w:rsidR="00427861" w:rsidRDefault="00427861" w:rsidP="00246DEA"/>
    <w:p w:rsidR="00427861" w:rsidRPr="00196DC0" w:rsidRDefault="00427861" w:rsidP="008C6312">
      <w:pPr>
        <w:spacing w:line="240" w:lineRule="atLeast"/>
        <w:rPr>
          <w:color w:val="00B0F0"/>
          <w:sz w:val="28"/>
          <w:szCs w:val="28"/>
        </w:rPr>
      </w:pPr>
      <w:r w:rsidRPr="00196DC0">
        <w:rPr>
          <w:rFonts w:hint="eastAsia"/>
          <w:color w:val="00B0F0"/>
          <w:sz w:val="28"/>
          <w:szCs w:val="28"/>
        </w:rPr>
        <w:t>第二章制度之適用與銜接</w:t>
      </w:r>
    </w:p>
    <w:p w:rsidR="00427861" w:rsidRPr="00196DC0" w:rsidRDefault="00582E18" w:rsidP="0005659C">
      <w:pPr>
        <w:ind w:firstLine="480"/>
        <w:rPr>
          <w:color w:val="796F39" w:themeColor="accent5" w:themeShade="80"/>
        </w:rPr>
      </w:pPr>
      <w:r w:rsidRPr="00196DC0">
        <w:rPr>
          <w:rFonts w:hint="eastAsia"/>
          <w:color w:val="796F39" w:themeColor="accent5" w:themeShade="80"/>
        </w:rPr>
        <w:t>第七條</w:t>
      </w:r>
      <w:r w:rsidR="00427861" w:rsidRPr="00196DC0">
        <w:rPr>
          <w:rFonts w:hint="eastAsia"/>
          <w:color w:val="796F39" w:themeColor="accent5" w:themeShade="80"/>
        </w:rPr>
        <w:t>本條例之適用對象為適用勞動基準法之本國籍勞工。但依私立學校法之規定提撥退休準備金者，不適用之。實際從事勞動之雇主及經雇主同意</w:t>
      </w:r>
      <w:proofErr w:type="gramStart"/>
      <w:r w:rsidR="00427861" w:rsidRPr="00196DC0">
        <w:rPr>
          <w:rFonts w:hint="eastAsia"/>
          <w:color w:val="796F39" w:themeColor="accent5" w:themeShade="80"/>
        </w:rPr>
        <w:t>為其提繳</w:t>
      </w:r>
      <w:proofErr w:type="gramEnd"/>
      <w:r w:rsidR="00427861" w:rsidRPr="00196DC0">
        <w:rPr>
          <w:rFonts w:hint="eastAsia"/>
          <w:color w:val="796F39" w:themeColor="accent5" w:themeShade="80"/>
        </w:rPr>
        <w:t>退休金之不適用勞動基準法本國籍工作者或委任經理人，得自願提繳，並依本</w:t>
      </w:r>
      <w:r w:rsidR="00427861" w:rsidRPr="00196DC0">
        <w:rPr>
          <w:rFonts w:hint="eastAsia"/>
          <w:color w:val="796F39" w:themeColor="accent5" w:themeShade="80"/>
        </w:rPr>
        <w:lastRenderedPageBreak/>
        <w:t>條例之規定提繳及請領退休金。</w:t>
      </w:r>
    </w:p>
    <w:p w:rsidR="00427861" w:rsidRPr="00196DC0" w:rsidRDefault="00582E18" w:rsidP="0005659C">
      <w:pPr>
        <w:ind w:firstLine="480"/>
        <w:rPr>
          <w:color w:val="796F39" w:themeColor="accent5" w:themeShade="80"/>
        </w:rPr>
      </w:pPr>
      <w:r w:rsidRPr="00196DC0">
        <w:rPr>
          <w:rFonts w:hint="eastAsia"/>
          <w:color w:val="796F39" w:themeColor="accent5" w:themeShade="80"/>
        </w:rPr>
        <w:t>第八條</w:t>
      </w:r>
      <w:r w:rsidR="00427861" w:rsidRPr="00196DC0">
        <w:rPr>
          <w:rFonts w:hint="eastAsia"/>
          <w:color w:val="796F39" w:themeColor="accent5" w:themeShade="80"/>
        </w:rPr>
        <w:t>本條例施行前已適用勞動基準法之勞工，於本條例施行後仍服務於同一事業單位者，得選擇繼續適用勞動基準法之退休金規定。但於離職後再受</w:t>
      </w:r>
      <w:proofErr w:type="gramStart"/>
      <w:r w:rsidR="00427861" w:rsidRPr="00196DC0">
        <w:rPr>
          <w:rFonts w:hint="eastAsia"/>
          <w:color w:val="796F39" w:themeColor="accent5" w:themeShade="80"/>
        </w:rPr>
        <w:t>僱</w:t>
      </w:r>
      <w:proofErr w:type="gramEnd"/>
      <w:r w:rsidR="00427861" w:rsidRPr="00196DC0">
        <w:rPr>
          <w:rFonts w:hint="eastAsia"/>
          <w:color w:val="796F39" w:themeColor="accent5" w:themeShade="80"/>
        </w:rPr>
        <w:t>時，應適用本條例之退休金制度。公營事業於本條例施行後移轉民營，公務員兼具勞工身分者繼續留用，得選擇適用勞動基準法之退休金規定或本條例之退休金制度。</w:t>
      </w:r>
    </w:p>
    <w:p w:rsidR="00427861" w:rsidRPr="00196DC0" w:rsidRDefault="00582E18" w:rsidP="0005659C">
      <w:pPr>
        <w:ind w:firstLine="480"/>
        <w:rPr>
          <w:color w:val="796F39" w:themeColor="accent5" w:themeShade="80"/>
        </w:rPr>
      </w:pPr>
      <w:r w:rsidRPr="00196DC0">
        <w:rPr>
          <w:rFonts w:hint="eastAsia"/>
          <w:color w:val="796F39" w:themeColor="accent5" w:themeShade="80"/>
        </w:rPr>
        <w:t>第九條</w:t>
      </w:r>
      <w:r w:rsidR="00427861" w:rsidRPr="00196DC0">
        <w:rPr>
          <w:rFonts w:hint="eastAsia"/>
          <w:color w:val="796F39" w:themeColor="accent5" w:themeShade="80"/>
        </w:rPr>
        <w:t>雇主應自本條例公布後至施行前一日之期間內，就本條例之勞工退休金制度及勞動基準法之退休金規定，以書面徵詢勞工之選擇；勞工屆期未選擇者，自本條例施行之日起繼續適用勞動基準法之退休金規定。勞工選擇繼續自本條例施行之日起適用勞動基準法之退休金規定者，於五年內仍得選擇適用本條例之退休金制度。雇主應為適用本條例之退休金制度之勞工，依下列規定向勞保局辦理提繳手續：</w:t>
      </w:r>
    </w:p>
    <w:p w:rsidR="00427861" w:rsidRPr="0005659C" w:rsidRDefault="00427861" w:rsidP="0005659C">
      <w:pPr>
        <w:rPr>
          <w:color w:val="7030A0"/>
          <w:sz w:val="20"/>
          <w:szCs w:val="20"/>
        </w:rPr>
      </w:pPr>
      <w:r w:rsidRPr="0005659C">
        <w:rPr>
          <w:rFonts w:hint="eastAsia"/>
          <w:color w:val="7030A0"/>
          <w:sz w:val="20"/>
          <w:szCs w:val="20"/>
        </w:rPr>
        <w:t>依第一項規定選擇適用者，應於本條例施行後十五日內申報。</w:t>
      </w:r>
    </w:p>
    <w:p w:rsidR="00427861" w:rsidRPr="0005659C" w:rsidRDefault="00427861" w:rsidP="0005659C">
      <w:pPr>
        <w:rPr>
          <w:color w:val="7030A0"/>
          <w:sz w:val="20"/>
          <w:szCs w:val="20"/>
        </w:rPr>
      </w:pPr>
      <w:r w:rsidRPr="0005659C">
        <w:rPr>
          <w:rFonts w:hint="eastAsia"/>
          <w:color w:val="7030A0"/>
          <w:sz w:val="20"/>
          <w:szCs w:val="20"/>
        </w:rPr>
        <w:t>依第二項規定選擇適用者，應於選擇適用之日起十五日內申報。</w:t>
      </w:r>
    </w:p>
    <w:p w:rsidR="00427861" w:rsidRPr="0005659C" w:rsidRDefault="00427861" w:rsidP="0005659C">
      <w:pPr>
        <w:rPr>
          <w:color w:val="7030A0"/>
          <w:sz w:val="20"/>
          <w:szCs w:val="20"/>
        </w:rPr>
      </w:pPr>
      <w:r w:rsidRPr="0005659C">
        <w:rPr>
          <w:rFonts w:hint="eastAsia"/>
          <w:color w:val="7030A0"/>
          <w:sz w:val="20"/>
          <w:szCs w:val="20"/>
        </w:rPr>
        <w:t>本條例施行後新成立之事業單位，應於成立之日起十五日內申報。</w:t>
      </w:r>
    </w:p>
    <w:p w:rsidR="00427861" w:rsidRPr="0005659C" w:rsidRDefault="00582E18" w:rsidP="0005659C">
      <w:pPr>
        <w:ind w:firstLine="480"/>
        <w:rPr>
          <w:color w:val="676A55" w:themeColor="text2"/>
        </w:rPr>
      </w:pPr>
      <w:r w:rsidRPr="0005659C">
        <w:rPr>
          <w:rFonts w:hint="eastAsia"/>
          <w:color w:val="676A55" w:themeColor="text2"/>
        </w:rPr>
        <w:t>第十條</w:t>
      </w:r>
      <w:r w:rsidR="00427861" w:rsidRPr="0005659C">
        <w:rPr>
          <w:rFonts w:hint="eastAsia"/>
          <w:color w:val="676A55" w:themeColor="text2"/>
        </w:rPr>
        <w:t>勞工適用本條例之退休金制度後，不得再變更選擇適用勞動基準法之退休金規定。</w:t>
      </w:r>
      <w:r w:rsidR="00427861" w:rsidRPr="0005659C">
        <w:rPr>
          <w:rFonts w:hint="eastAsia"/>
          <w:color w:val="676A55" w:themeColor="text2"/>
        </w:rPr>
        <w:t xml:space="preserve"> </w:t>
      </w:r>
    </w:p>
    <w:p w:rsidR="00427861" w:rsidRPr="0005659C" w:rsidRDefault="00582E18" w:rsidP="0005659C">
      <w:pPr>
        <w:ind w:firstLine="480"/>
        <w:rPr>
          <w:color w:val="676A55" w:themeColor="text2"/>
        </w:rPr>
      </w:pPr>
      <w:r w:rsidRPr="0005659C">
        <w:rPr>
          <w:rFonts w:hint="eastAsia"/>
          <w:color w:val="676A55" w:themeColor="text2"/>
        </w:rPr>
        <w:t>第十一條</w:t>
      </w:r>
      <w:r w:rsidR="00427861" w:rsidRPr="0005659C">
        <w:rPr>
          <w:rFonts w:hint="eastAsia"/>
          <w:color w:val="676A55" w:themeColor="text2"/>
        </w:rPr>
        <w:t>本條例施行前已適用勞動基準法之勞工，於本條例施行後，仍服務於同一事業單位而選擇適用本條例之退休金制度者，其適用本條例前之工作年資，應予保留。前項保留之工作年資，於勞動契約依勞動基準法第十一條、第十三條但書、第十四條、第二十條、第五十三條、第五十四條或職業災害勞工保護法第二十三條、第二十四條規定終止時，雇主應依各法規定，以契約終止時之平均工資，</w:t>
      </w:r>
      <w:proofErr w:type="gramStart"/>
      <w:r w:rsidR="00427861" w:rsidRPr="0005659C">
        <w:rPr>
          <w:rFonts w:hint="eastAsia"/>
          <w:color w:val="676A55" w:themeColor="text2"/>
        </w:rPr>
        <w:t>計給該</w:t>
      </w:r>
      <w:proofErr w:type="gramEnd"/>
      <w:r w:rsidR="00427861" w:rsidRPr="0005659C">
        <w:rPr>
          <w:rFonts w:hint="eastAsia"/>
          <w:color w:val="676A55" w:themeColor="text2"/>
        </w:rPr>
        <w:t>保留年資之資遣費或退休金，並於終止勞動契約後三十日內發給。第一項保留之工作年資，於勞動契約存續期間，勞雇雙方約定以不低於勞動基準法第五十五條及第八十四條之二規定之給與標準結清者，從其約定。公營事業之公</w:t>
      </w:r>
      <w:r w:rsidR="00427861" w:rsidRPr="0005659C">
        <w:rPr>
          <w:rFonts w:hint="eastAsia"/>
          <w:color w:val="676A55" w:themeColor="text2"/>
        </w:rPr>
        <w:lastRenderedPageBreak/>
        <w:t>務員兼具勞工身分者，於民營化之日，其移轉民營前年資，依民營化前原適用之退休相關法令領取退休金。但留用人員應停止其領受月退休金及相關權利，至離職時恢復。</w:t>
      </w:r>
    </w:p>
    <w:p w:rsidR="00427861" w:rsidRPr="0005659C" w:rsidRDefault="00582E18" w:rsidP="0005659C">
      <w:pPr>
        <w:ind w:firstLine="480"/>
        <w:rPr>
          <w:color w:val="676A55" w:themeColor="text2"/>
        </w:rPr>
      </w:pPr>
      <w:r w:rsidRPr="0005659C">
        <w:rPr>
          <w:rFonts w:hint="eastAsia"/>
          <w:color w:val="676A55" w:themeColor="text2"/>
        </w:rPr>
        <w:t>第十二條</w:t>
      </w:r>
      <w:r w:rsidR="00427861" w:rsidRPr="0005659C">
        <w:rPr>
          <w:rFonts w:hint="eastAsia"/>
          <w:color w:val="676A55" w:themeColor="text2"/>
        </w:rPr>
        <w:t>勞工適用本條例之退休金制度者，適用本條例後之工作年資，於勞動契約依勞動基準法第十一條、第十三條但書、第十四條、第二十條或職業災害勞工保護法第二十三條、第二十四條規定終止時，其資遣費由雇主按其工作年資，每滿一年發給二分之一個月之平均工資，未滿一年者，以比例計給；最高以發給六個月平均工資為限，不適用勞動基準法第十七條之規定。依前項規定計算之資遣費，應於終止勞動契約後三十日內發給。選擇繼續適用勞動基準法退休金規定之勞工，其資遣費依同法第十七條規定發給。</w:t>
      </w:r>
    </w:p>
    <w:p w:rsidR="00427861" w:rsidRPr="0005659C" w:rsidRDefault="00582E18" w:rsidP="0005659C">
      <w:pPr>
        <w:ind w:firstLine="480"/>
        <w:rPr>
          <w:color w:val="676A55" w:themeColor="text2"/>
        </w:rPr>
      </w:pPr>
      <w:r w:rsidRPr="0005659C">
        <w:rPr>
          <w:rFonts w:hint="eastAsia"/>
          <w:color w:val="676A55" w:themeColor="text2"/>
        </w:rPr>
        <w:t>第十三條</w:t>
      </w:r>
      <w:r w:rsidR="00427861" w:rsidRPr="0005659C">
        <w:rPr>
          <w:rFonts w:hint="eastAsia"/>
          <w:color w:val="676A55" w:themeColor="text2"/>
        </w:rPr>
        <w:t>為保障勞工之退休金，雇主應依選擇適用勞動基準法退休制度與保留適用本條例前工作年資之勞工人數、工資、工作年資、流動率等因素精算其勞工退休準備金之提撥率，繼續依勞動基準法第五十六條第一項規定，按月於五年內足額提撥勞工退休準備金，以作為支付退休金之用。勞雇雙方依第十一條第三項規定，約定結清之退休金，得自勞動基準法第五十六條第一項規定之勞工退休準備金專戶支應。依第十一條第四項規定應發給勞工之退休金，應依公營事業移轉民營條例第九條規定辦理。</w:t>
      </w:r>
    </w:p>
    <w:p w:rsidR="00427861" w:rsidRPr="00427861" w:rsidRDefault="00427861" w:rsidP="00246DEA"/>
    <w:sectPr w:rsidR="00427861" w:rsidRPr="00427861" w:rsidSect="00530F65">
      <w:pgSz w:w="11907" w:h="11907"/>
      <w:pgMar w:top="1440" w:right="1797" w:bottom="1440" w:left="1797"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1ADF" w:rsidRDefault="00F81ADF" w:rsidP="00482F7E">
      <w:r>
        <w:separator/>
      </w:r>
    </w:p>
  </w:endnote>
  <w:endnote w:type="continuationSeparator" w:id="0">
    <w:p w:rsidR="00F81ADF" w:rsidRDefault="00F81ADF" w:rsidP="00482F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文鼎中明">
    <w:charset w:val="88"/>
    <w:family w:val="modern"/>
    <w:pitch w:val="fixed"/>
    <w:sig w:usb0="00000001" w:usb1="08080000" w:usb2="00000010" w:usb3="00000000" w:csb0="00100000" w:csb1="00000000"/>
  </w:font>
  <w:font w:name="華康中黑體">
    <w:altName w:val="Arial Unicode MS"/>
    <w:charset w:val="88"/>
    <w:family w:val="modern"/>
    <w:pitch w:val="fixed"/>
    <w:sig w:usb0="80000001" w:usb1="28091800" w:usb2="00000016" w:usb3="00000000" w:csb0="00100000"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華康細黑體">
    <w:altName w:val="Arial Unicode MS"/>
    <w:charset w:val="88"/>
    <w:family w:val="modern"/>
    <w:pitch w:val="fixed"/>
    <w:sig w:usb0="80000001" w:usb1="28091800" w:usb2="00000016" w:usb3="00000000" w:csb0="00100000" w:csb1="00000000"/>
  </w:font>
  <w:font w:name="華康細圓體">
    <w:altName w:val="Arial Unicode MS"/>
    <w:charset w:val="88"/>
    <w:family w:val="modern"/>
    <w:pitch w:val="fixed"/>
    <w:sig w:usb0="80000001" w:usb1="28091800" w:usb2="00000016" w:usb3="00000000" w:csb0="00100000" w:csb1="00000000"/>
  </w:font>
  <w:font w:name="華康粗圓體">
    <w:altName w:val="Arial Unicode MS"/>
    <w:charset w:val="88"/>
    <w:family w:val="modern"/>
    <w:pitch w:val="fixed"/>
    <w:sig w:usb0="80000001" w:usb1="28091800" w:usb2="00000016" w:usb3="00000000" w:csb0="00100000" w:csb1="00000000"/>
  </w:font>
  <w:font w:name="Rockwell">
    <w:altName w:val="Times New Roman"/>
    <w:panose1 w:val="00000000000000000000"/>
    <w:charset w:val="00"/>
    <w:family w:val="roman"/>
    <w:notTrueType/>
    <w:pitch w:val="default"/>
  </w:font>
  <w:font w:name="微軟正黑體">
    <w:panose1 w:val="020B0604030504040204"/>
    <w:charset w:val="88"/>
    <w:family w:val="swiss"/>
    <w:pitch w:val="variable"/>
    <w:sig w:usb0="00000087" w:usb1="288F4000" w:usb2="00000016" w:usb3="00000000" w:csb0="00100009"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1ADF" w:rsidRDefault="00F81ADF" w:rsidP="00482F7E">
      <w:r>
        <w:separator/>
      </w:r>
    </w:p>
  </w:footnote>
  <w:footnote w:type="continuationSeparator" w:id="0">
    <w:p w:rsidR="00F81ADF" w:rsidRDefault="00F81ADF" w:rsidP="00482F7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0" type="#_x0000_t75" style="width:15.05pt;height:15.05pt" o:bullet="t">
        <v:imagedata r:id="rId1" o:title="圖中的步驟"/>
      </v:shape>
    </w:pict>
  </w:numPicBullet>
  <w:numPicBullet w:numPicBulletId="1">
    <w:pict>
      <v:shape id="_x0000_i1061" type="#_x0000_t75" style="width:117.15pt;height:142.95pt" o:bullet="t">
        <v:imagedata r:id="rId2" o:title="MCj03954020000[1]"/>
      </v:shape>
    </w:pict>
  </w:numPicBullet>
  <w:abstractNum w:abstractNumId="0">
    <w:nsid w:val="082B08B6"/>
    <w:multiLevelType w:val="hybridMultilevel"/>
    <w:tmpl w:val="C24EBC20"/>
    <w:lvl w:ilvl="0" w:tplc="499C672E">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0A394E80"/>
    <w:multiLevelType w:val="hybridMultilevel"/>
    <w:tmpl w:val="83BAFBBA"/>
    <w:lvl w:ilvl="0" w:tplc="BEB0FD92">
      <w:start w:val="1"/>
      <w:numFmt w:val="bullet"/>
      <w:pStyle w:val="1"/>
      <w:lvlText w:val=""/>
      <w:lvlPicBulletId w:val="0"/>
      <w:lvlJc w:val="left"/>
      <w:pPr>
        <w:tabs>
          <w:tab w:val="num" w:pos="758"/>
        </w:tabs>
        <w:ind w:left="758" w:hanging="480"/>
      </w:pPr>
      <w:rPr>
        <w:rFonts w:ascii="Symbol" w:hAnsi="Symbol" w:hint="default"/>
        <w:color w:val="auto"/>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2">
    <w:nsid w:val="0EAC10A0"/>
    <w:multiLevelType w:val="hybridMultilevel"/>
    <w:tmpl w:val="DCE26054"/>
    <w:lvl w:ilvl="0" w:tplc="04090011">
      <w:start w:val="1"/>
      <w:numFmt w:val="upperLetter"/>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17037AB9"/>
    <w:multiLevelType w:val="hybridMultilevel"/>
    <w:tmpl w:val="A30C799E"/>
    <w:lvl w:ilvl="0" w:tplc="455C676A">
      <w:start w:val="1"/>
      <w:numFmt w:val="bullet"/>
      <w:lvlText w:val=""/>
      <w:lvlJc w:val="left"/>
      <w:pPr>
        <w:ind w:left="480" w:hanging="480"/>
      </w:pPr>
      <w:rPr>
        <w:rFonts w:ascii="Wingdings" w:hAnsi="Wingdings" w:hint="default"/>
        <w:color w:val="auto"/>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
    <w:nsid w:val="1C62230B"/>
    <w:multiLevelType w:val="multilevel"/>
    <w:tmpl w:val="FBBC18A6"/>
    <w:lvl w:ilvl="0">
      <w:start w:val="1"/>
      <w:numFmt w:val="decimal"/>
      <w:pStyle w:val="a"/>
      <w:lvlText w:val="%1"/>
      <w:lvlJc w:val="left"/>
      <w:pPr>
        <w:tabs>
          <w:tab w:val="num" w:pos="425"/>
        </w:tabs>
        <w:ind w:left="425" w:hanging="425"/>
      </w:pPr>
      <w:rPr>
        <w:rFonts w:hint="eastAsia"/>
      </w:rPr>
    </w:lvl>
    <w:lvl w:ilvl="1">
      <w:start w:val="1"/>
      <w:numFmt w:val="decimal"/>
      <w:pStyle w:val="a0"/>
      <w:lvlText w:val="%1-%2"/>
      <w:lvlJc w:val="left"/>
      <w:pPr>
        <w:tabs>
          <w:tab w:val="num" w:pos="992"/>
        </w:tabs>
        <w:ind w:left="0" w:firstLine="0"/>
      </w:pPr>
      <w:rPr>
        <w:rFonts w:hint="eastAsia"/>
      </w:rPr>
    </w:lvl>
    <w:lvl w:ilvl="2">
      <w:start w:val="1"/>
      <w:numFmt w:val="decimal"/>
      <w:pStyle w:val="a"/>
      <w:lvlText w:val="%1-%2-%3"/>
      <w:lvlJc w:val="left"/>
      <w:pPr>
        <w:tabs>
          <w:tab w:val="num" w:pos="1134"/>
        </w:tabs>
        <w:ind w:left="0" w:firstLine="0"/>
      </w:pPr>
      <w:rPr>
        <w:rFonts w:hint="eastAsia"/>
      </w:rPr>
    </w:lvl>
    <w:lvl w:ilvl="3">
      <w:start w:val="1"/>
      <w:numFmt w:val="decimal"/>
      <w:lvlText w:val="%1.%2.%3.%4"/>
      <w:lvlJc w:val="left"/>
      <w:pPr>
        <w:tabs>
          <w:tab w:val="num" w:pos="3076"/>
        </w:tabs>
        <w:ind w:left="1984" w:hanging="708"/>
      </w:pPr>
      <w:rPr>
        <w:rFonts w:hint="eastAsia"/>
      </w:rPr>
    </w:lvl>
    <w:lvl w:ilvl="4">
      <w:start w:val="1"/>
      <w:numFmt w:val="decimal"/>
      <w:lvlText w:val="%1.%2.%3.%4.%5"/>
      <w:lvlJc w:val="left"/>
      <w:pPr>
        <w:tabs>
          <w:tab w:val="num" w:pos="3861"/>
        </w:tabs>
        <w:ind w:left="2551" w:hanging="850"/>
      </w:pPr>
      <w:rPr>
        <w:rFonts w:hint="eastAsia"/>
      </w:rPr>
    </w:lvl>
    <w:lvl w:ilvl="5">
      <w:start w:val="1"/>
      <w:numFmt w:val="decimal"/>
      <w:lvlText w:val="%1.%2.%3.%4.%5.%6"/>
      <w:lvlJc w:val="left"/>
      <w:pPr>
        <w:tabs>
          <w:tab w:val="num" w:pos="4646"/>
        </w:tabs>
        <w:ind w:left="3260" w:hanging="1134"/>
      </w:pPr>
      <w:rPr>
        <w:rFonts w:hint="eastAsia"/>
      </w:rPr>
    </w:lvl>
    <w:lvl w:ilvl="6">
      <w:start w:val="1"/>
      <w:numFmt w:val="decimal"/>
      <w:lvlText w:val="%1.%2.%3.%4.%5.%6.%7"/>
      <w:lvlJc w:val="left"/>
      <w:pPr>
        <w:tabs>
          <w:tab w:val="num" w:pos="5431"/>
        </w:tabs>
        <w:ind w:left="3827" w:hanging="1276"/>
      </w:pPr>
      <w:rPr>
        <w:rFonts w:hint="eastAsia"/>
      </w:rPr>
    </w:lvl>
    <w:lvl w:ilvl="7">
      <w:start w:val="1"/>
      <w:numFmt w:val="decimal"/>
      <w:lvlText w:val="%1.%2.%3.%4.%5.%6.%7.%8"/>
      <w:lvlJc w:val="left"/>
      <w:pPr>
        <w:tabs>
          <w:tab w:val="num" w:pos="6216"/>
        </w:tabs>
        <w:ind w:left="4394" w:hanging="1418"/>
      </w:pPr>
      <w:rPr>
        <w:rFonts w:hint="eastAsia"/>
      </w:rPr>
    </w:lvl>
    <w:lvl w:ilvl="8">
      <w:start w:val="1"/>
      <w:numFmt w:val="decimal"/>
      <w:lvlText w:val="%1.%2.%3.%4.%5.%6.%7.%8.%9"/>
      <w:lvlJc w:val="left"/>
      <w:pPr>
        <w:tabs>
          <w:tab w:val="num" w:pos="7002"/>
        </w:tabs>
        <w:ind w:left="5102" w:hanging="1700"/>
      </w:pPr>
      <w:rPr>
        <w:rFonts w:hint="eastAsia"/>
      </w:rPr>
    </w:lvl>
  </w:abstractNum>
  <w:abstractNum w:abstractNumId="5">
    <w:nsid w:val="262D58B9"/>
    <w:multiLevelType w:val="hybridMultilevel"/>
    <w:tmpl w:val="0EE83B18"/>
    <w:lvl w:ilvl="0" w:tplc="7EB0A9EC">
      <w:start w:val="1"/>
      <w:numFmt w:val="bullet"/>
      <w:lvlText w:val=""/>
      <w:lvlPicBulletId w:val="1"/>
      <w:lvlJc w:val="left"/>
      <w:pPr>
        <w:ind w:left="480" w:hanging="480"/>
      </w:pPr>
      <w:rPr>
        <w:rFonts w:ascii="Symbol" w:hAnsi="Symbol" w:hint="default"/>
        <w:color w:val="auto"/>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
    <w:nsid w:val="2B312760"/>
    <w:multiLevelType w:val="hybridMultilevel"/>
    <w:tmpl w:val="87AA27A6"/>
    <w:lvl w:ilvl="0" w:tplc="7EB0A9EC">
      <w:start w:val="1"/>
      <w:numFmt w:val="bullet"/>
      <w:lvlText w:val=""/>
      <w:lvlPicBulletId w:val="1"/>
      <w:lvlJc w:val="left"/>
      <w:pPr>
        <w:ind w:left="480" w:hanging="480"/>
      </w:pPr>
      <w:rPr>
        <w:rFonts w:ascii="Symbol" w:hAnsi="Symbol" w:hint="default"/>
        <w:color w:val="auto"/>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
    <w:nsid w:val="304B6C67"/>
    <w:multiLevelType w:val="hybridMultilevel"/>
    <w:tmpl w:val="54CA3A34"/>
    <w:lvl w:ilvl="0" w:tplc="499C672E">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3DF7684A"/>
    <w:multiLevelType w:val="hybridMultilevel"/>
    <w:tmpl w:val="5984808E"/>
    <w:lvl w:ilvl="0" w:tplc="499C672E">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412D1832"/>
    <w:multiLevelType w:val="hybridMultilevel"/>
    <w:tmpl w:val="D2A0C46A"/>
    <w:lvl w:ilvl="0" w:tplc="455C676A">
      <w:start w:val="1"/>
      <w:numFmt w:val="bullet"/>
      <w:lvlText w:val=""/>
      <w:lvlJc w:val="left"/>
      <w:pPr>
        <w:ind w:left="480" w:hanging="480"/>
      </w:pPr>
      <w:rPr>
        <w:rFonts w:ascii="Wingdings" w:hAnsi="Wingding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nsid w:val="4EE3303E"/>
    <w:multiLevelType w:val="hybridMultilevel"/>
    <w:tmpl w:val="2CBEC38E"/>
    <w:lvl w:ilvl="0" w:tplc="499C672E">
      <w:start w:val="1"/>
      <w:numFmt w:val="taiwaneseCountingThousand"/>
      <w:lvlText w:val="(%1)"/>
      <w:lvlJc w:val="left"/>
      <w:pPr>
        <w:ind w:left="480" w:hanging="480"/>
      </w:pPr>
      <w:rPr>
        <w:rFonts w:hint="eastAsia"/>
      </w:rPr>
    </w:lvl>
    <w:lvl w:ilvl="1" w:tplc="AFEED35E">
      <w:start w:val="1"/>
      <w:numFmt w:val="taiwaneseCountingThousand"/>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nsid w:val="594D1AA4"/>
    <w:multiLevelType w:val="hybridMultilevel"/>
    <w:tmpl w:val="DDACCAE8"/>
    <w:lvl w:ilvl="0" w:tplc="499C672E">
      <w:start w:val="1"/>
      <w:numFmt w:val="taiwaneseCountingThousand"/>
      <w:lvlText w:val="(%1)"/>
      <w:lvlJc w:val="left"/>
      <w:pPr>
        <w:ind w:left="480" w:hanging="480"/>
      </w:pPr>
      <w:rPr>
        <w:rFonts w:hint="eastAsia"/>
      </w:rPr>
    </w:lvl>
    <w:lvl w:ilvl="1" w:tplc="AFEED35E">
      <w:start w:val="1"/>
      <w:numFmt w:val="taiwaneseCountingThousand"/>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69064E9B"/>
    <w:multiLevelType w:val="singleLevel"/>
    <w:tmpl w:val="2EDC0E7C"/>
    <w:lvl w:ilvl="0">
      <w:start w:val="1"/>
      <w:numFmt w:val="bullet"/>
      <w:pStyle w:val="2"/>
      <w:lvlText w:val=""/>
      <w:lvlJc w:val="left"/>
      <w:pPr>
        <w:tabs>
          <w:tab w:val="num" w:pos="425"/>
        </w:tabs>
        <w:ind w:left="425" w:hanging="425"/>
      </w:pPr>
      <w:rPr>
        <w:rFonts w:ascii="Wingdings" w:hAnsi="Wingdings" w:hint="default"/>
      </w:rPr>
    </w:lvl>
  </w:abstractNum>
  <w:abstractNum w:abstractNumId="13">
    <w:nsid w:val="724C2EB9"/>
    <w:multiLevelType w:val="hybridMultilevel"/>
    <w:tmpl w:val="5E18552A"/>
    <w:lvl w:ilvl="0" w:tplc="455C676A">
      <w:start w:val="1"/>
      <w:numFmt w:val="bullet"/>
      <w:lvlText w:val=""/>
      <w:lvlJc w:val="left"/>
      <w:pPr>
        <w:ind w:left="480" w:hanging="480"/>
      </w:pPr>
      <w:rPr>
        <w:rFonts w:ascii="Wingdings" w:hAnsi="Wingdings" w:hint="default"/>
        <w:color w:val="auto"/>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num w:numId="1">
    <w:abstractNumId w:val="4"/>
  </w:num>
  <w:num w:numId="2">
    <w:abstractNumId w:val="4"/>
  </w:num>
  <w:num w:numId="3">
    <w:abstractNumId w:val="1"/>
  </w:num>
  <w:num w:numId="4">
    <w:abstractNumId w:val="12"/>
  </w:num>
  <w:num w:numId="5">
    <w:abstractNumId w:val="6"/>
  </w:num>
  <w:num w:numId="6">
    <w:abstractNumId w:val="3"/>
  </w:num>
  <w:num w:numId="7">
    <w:abstractNumId w:val="0"/>
  </w:num>
  <w:num w:numId="8">
    <w:abstractNumId w:val="10"/>
  </w:num>
  <w:num w:numId="9">
    <w:abstractNumId w:val="2"/>
  </w:num>
  <w:num w:numId="10">
    <w:abstractNumId w:val="8"/>
  </w:num>
  <w:num w:numId="11">
    <w:abstractNumId w:val="7"/>
  </w:num>
  <w:num w:numId="12">
    <w:abstractNumId w:val="11"/>
  </w:num>
  <w:num w:numId="13">
    <w:abstractNumId w:val="5"/>
  </w:num>
  <w:num w:numId="14">
    <w:abstractNumId w:val="9"/>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7861"/>
    <w:rsid w:val="00020C41"/>
    <w:rsid w:val="0005659C"/>
    <w:rsid w:val="000E7AE0"/>
    <w:rsid w:val="000F296B"/>
    <w:rsid w:val="000F4C99"/>
    <w:rsid w:val="0010562E"/>
    <w:rsid w:val="001424DC"/>
    <w:rsid w:val="00170C3E"/>
    <w:rsid w:val="001752B8"/>
    <w:rsid w:val="00196DC0"/>
    <w:rsid w:val="001B02D2"/>
    <w:rsid w:val="00205E91"/>
    <w:rsid w:val="00207F68"/>
    <w:rsid w:val="00246DEA"/>
    <w:rsid w:val="00261C4F"/>
    <w:rsid w:val="00266336"/>
    <w:rsid w:val="002B3680"/>
    <w:rsid w:val="00367AE0"/>
    <w:rsid w:val="00384A86"/>
    <w:rsid w:val="003C7D8A"/>
    <w:rsid w:val="00427861"/>
    <w:rsid w:val="00482F7E"/>
    <w:rsid w:val="0051443B"/>
    <w:rsid w:val="00530F65"/>
    <w:rsid w:val="00535298"/>
    <w:rsid w:val="005579E6"/>
    <w:rsid w:val="00582E18"/>
    <w:rsid w:val="0058734B"/>
    <w:rsid w:val="005F4AA2"/>
    <w:rsid w:val="00605E43"/>
    <w:rsid w:val="006200EE"/>
    <w:rsid w:val="00626469"/>
    <w:rsid w:val="0065441D"/>
    <w:rsid w:val="006C4226"/>
    <w:rsid w:val="00702448"/>
    <w:rsid w:val="007135FC"/>
    <w:rsid w:val="007E43DC"/>
    <w:rsid w:val="008038F6"/>
    <w:rsid w:val="00817EC6"/>
    <w:rsid w:val="00870BAC"/>
    <w:rsid w:val="00871383"/>
    <w:rsid w:val="008C0D0D"/>
    <w:rsid w:val="008C6312"/>
    <w:rsid w:val="008D13C3"/>
    <w:rsid w:val="008D3C2D"/>
    <w:rsid w:val="00900D0D"/>
    <w:rsid w:val="00922357"/>
    <w:rsid w:val="00932498"/>
    <w:rsid w:val="0095209B"/>
    <w:rsid w:val="009A2DDA"/>
    <w:rsid w:val="009A6DAA"/>
    <w:rsid w:val="009C0273"/>
    <w:rsid w:val="00A22BF1"/>
    <w:rsid w:val="00A251DB"/>
    <w:rsid w:val="00A35A6E"/>
    <w:rsid w:val="00A62BD6"/>
    <w:rsid w:val="00AF1C1C"/>
    <w:rsid w:val="00B14242"/>
    <w:rsid w:val="00B25797"/>
    <w:rsid w:val="00BD12F0"/>
    <w:rsid w:val="00BE327D"/>
    <w:rsid w:val="00BE4867"/>
    <w:rsid w:val="00C243B7"/>
    <w:rsid w:val="00C6182D"/>
    <w:rsid w:val="00C832F4"/>
    <w:rsid w:val="00CF7812"/>
    <w:rsid w:val="00D90BF8"/>
    <w:rsid w:val="00D9704F"/>
    <w:rsid w:val="00DE6EBB"/>
    <w:rsid w:val="00E36ADE"/>
    <w:rsid w:val="00E81F6D"/>
    <w:rsid w:val="00EF0580"/>
    <w:rsid w:val="00F27ECD"/>
    <w:rsid w:val="00F4060C"/>
    <w:rsid w:val="00F6559E"/>
    <w:rsid w:val="00F808BC"/>
    <w:rsid w:val="00F81ADF"/>
    <w:rsid w:val="00FC7AA6"/>
    <w:rsid w:val="00FD0BF1"/>
    <w:rsid w:val="00FF222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F69B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020C41"/>
    <w:pPr>
      <w:widowControl w:val="0"/>
    </w:pPr>
    <w:rPr>
      <w:kern w:val="2"/>
      <w:sz w:val="24"/>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0">
    <w:name w:val="大節"/>
    <w:basedOn w:val="a1"/>
    <w:rsid w:val="00020C41"/>
    <w:pPr>
      <w:pageBreakBefore/>
      <w:numPr>
        <w:ilvl w:val="1"/>
        <w:numId w:val="2"/>
      </w:numPr>
      <w:pBdr>
        <w:bottom w:val="thickThinSmallGap" w:sz="24" w:space="0" w:color="0083BE"/>
      </w:pBdr>
      <w:tabs>
        <w:tab w:val="clear" w:pos="992"/>
        <w:tab w:val="num" w:pos="960"/>
      </w:tabs>
      <w:adjustRightInd w:val="0"/>
      <w:snapToGrid w:val="0"/>
      <w:spacing w:afterLines="100"/>
      <w:ind w:left="960" w:hanging="480"/>
    </w:pPr>
    <w:rPr>
      <w:rFonts w:eastAsia="文鼎中明"/>
      <w:b/>
      <w:color w:val="0083BE"/>
      <w:sz w:val="32"/>
      <w:szCs w:val="32"/>
    </w:rPr>
  </w:style>
  <w:style w:type="paragraph" w:customStyle="1" w:styleId="a">
    <w:name w:val="小節"/>
    <w:basedOn w:val="a1"/>
    <w:rsid w:val="00020C41"/>
    <w:pPr>
      <w:numPr>
        <w:ilvl w:val="2"/>
        <w:numId w:val="2"/>
      </w:numPr>
      <w:tabs>
        <w:tab w:val="clear" w:pos="1134"/>
        <w:tab w:val="num" w:pos="1440"/>
      </w:tabs>
      <w:spacing w:beforeLines="100" w:afterLines="50"/>
      <w:ind w:left="1440" w:hanging="480"/>
    </w:pPr>
    <w:rPr>
      <w:rFonts w:eastAsia="華康中黑體"/>
      <w:b/>
      <w:color w:val="F7941D"/>
      <w:sz w:val="28"/>
      <w:szCs w:val="28"/>
    </w:rPr>
  </w:style>
  <w:style w:type="paragraph" w:customStyle="1" w:styleId="a5">
    <w:name w:val="小標"/>
    <w:basedOn w:val="a1"/>
    <w:rsid w:val="00020C41"/>
    <w:pPr>
      <w:spacing w:before="240" w:after="60"/>
      <w:ind w:left="425"/>
    </w:pPr>
    <w:rPr>
      <w:rFonts w:ascii="Arial Black" w:eastAsia="華康中黑體" w:hAnsi="Arial Black" w:cs="新細明體"/>
      <w:b/>
      <w:bCs/>
    </w:rPr>
  </w:style>
  <w:style w:type="paragraph" w:customStyle="1" w:styleId="a6">
    <w:name w:val="文字"/>
    <w:basedOn w:val="a1"/>
    <w:rsid w:val="00020C41"/>
    <w:pPr>
      <w:adjustRightInd w:val="0"/>
      <w:snapToGrid w:val="0"/>
      <w:spacing w:line="240" w:lineRule="atLeast"/>
      <w:jc w:val="both"/>
    </w:pPr>
    <w:rPr>
      <w:rFonts w:ascii="Arial" w:eastAsia="華康細黑體" w:hAnsi="Arial"/>
      <w:spacing w:val="6"/>
      <w:sz w:val="18"/>
      <w:szCs w:val="18"/>
    </w:rPr>
  </w:style>
  <w:style w:type="paragraph" w:customStyle="1" w:styleId="10">
    <w:name w:val="本文1"/>
    <w:basedOn w:val="a1"/>
    <w:rsid w:val="00020C41"/>
    <w:pPr>
      <w:spacing w:after="60" w:line="360" w:lineRule="atLeast"/>
      <w:ind w:firstLineChars="192" w:firstLine="192"/>
      <w:jc w:val="both"/>
    </w:pPr>
    <w:rPr>
      <w:rFonts w:ascii="Arial" w:eastAsia="華康細圓體" w:hAnsi="Arial"/>
      <w:spacing w:val="20"/>
      <w:sz w:val="20"/>
      <w:szCs w:val="20"/>
    </w:rPr>
  </w:style>
  <w:style w:type="paragraph" w:customStyle="1" w:styleId="a7">
    <w:name w:val="技巧"/>
    <w:basedOn w:val="a1"/>
    <w:rsid w:val="00020C41"/>
    <w:pPr>
      <w:pBdr>
        <w:top w:val="single" w:sz="12" w:space="1" w:color="99CC00"/>
        <w:bottom w:val="single" w:sz="12" w:space="1" w:color="99CC00"/>
      </w:pBdr>
      <w:shd w:val="clear" w:color="auto" w:fill="ECFADA"/>
      <w:tabs>
        <w:tab w:val="left" w:pos="851"/>
      </w:tabs>
      <w:spacing w:line="360" w:lineRule="atLeast"/>
      <w:ind w:leftChars="1" w:left="814" w:hangingChars="369" w:hanging="812"/>
      <w:jc w:val="both"/>
    </w:pPr>
    <w:rPr>
      <w:rFonts w:ascii="Arial" w:eastAsia="華康細黑體" w:hAnsi="Arial"/>
      <w:w w:val="110"/>
      <w:sz w:val="20"/>
      <w:szCs w:val="20"/>
    </w:rPr>
  </w:style>
  <w:style w:type="paragraph" w:customStyle="1" w:styleId="a8">
    <w:name w:val="步驟"/>
    <w:basedOn w:val="a1"/>
    <w:rsid w:val="00020C41"/>
    <w:pPr>
      <w:spacing w:after="60" w:line="360" w:lineRule="atLeast"/>
      <w:ind w:leftChars="192" w:left="192"/>
      <w:jc w:val="both"/>
    </w:pPr>
    <w:rPr>
      <w:rFonts w:ascii="Arial" w:eastAsia="華康細圓體" w:hAnsi="Arial"/>
      <w:spacing w:val="20"/>
      <w:sz w:val="20"/>
      <w:szCs w:val="20"/>
    </w:rPr>
  </w:style>
  <w:style w:type="paragraph" w:customStyle="1" w:styleId="a9">
    <w:name w:val="注意"/>
    <w:basedOn w:val="a1"/>
    <w:rsid w:val="00020C41"/>
    <w:pPr>
      <w:spacing w:beforeLines="100" w:after="240" w:line="360" w:lineRule="atLeast"/>
      <w:ind w:leftChars="413" w:left="991"/>
      <w:jc w:val="both"/>
    </w:pPr>
    <w:rPr>
      <w:rFonts w:ascii="Arial" w:eastAsia="華康細黑體" w:hAnsi="Arial"/>
      <w:w w:val="110"/>
      <w:sz w:val="20"/>
      <w:szCs w:val="20"/>
    </w:rPr>
  </w:style>
  <w:style w:type="table" w:styleId="aa">
    <w:name w:val="Table Grid"/>
    <w:basedOn w:val="a3"/>
    <w:rsid w:val="00020C41"/>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b">
    <w:name w:val="動手"/>
    <w:basedOn w:val="a1"/>
    <w:rsid w:val="00020C41"/>
    <w:pPr>
      <w:spacing w:after="120"/>
    </w:pPr>
  </w:style>
  <w:style w:type="character" w:customStyle="1" w:styleId="ac">
    <w:name w:val="專名"/>
    <w:basedOn w:val="a2"/>
    <w:rsid w:val="00020C41"/>
    <w:rPr>
      <w:rFonts w:ascii="Arial Black" w:eastAsia="華康粗圓體" w:hAnsi="Arial Black"/>
      <w:color w:val="00A1E4"/>
      <w:sz w:val="20"/>
      <w:szCs w:val="20"/>
    </w:rPr>
  </w:style>
  <w:style w:type="paragraph" w:customStyle="1" w:styleId="1">
    <w:name w:val="項1"/>
    <w:basedOn w:val="a1"/>
    <w:rsid w:val="00020C41"/>
    <w:pPr>
      <w:numPr>
        <w:numId w:val="3"/>
      </w:numPr>
      <w:tabs>
        <w:tab w:val="clear" w:pos="758"/>
        <w:tab w:val="num" w:pos="960"/>
        <w:tab w:val="left" w:pos="993"/>
      </w:tabs>
      <w:spacing w:after="80" w:line="360" w:lineRule="atLeast"/>
      <w:ind w:left="960"/>
      <w:jc w:val="both"/>
    </w:pPr>
    <w:rPr>
      <w:rFonts w:ascii="Arial" w:eastAsia="華康細圓體" w:hAnsi="Arial"/>
      <w:spacing w:val="20"/>
      <w:kern w:val="0"/>
      <w:sz w:val="20"/>
      <w:szCs w:val="20"/>
      <w:lang w:bidi="he-IL"/>
    </w:rPr>
  </w:style>
  <w:style w:type="paragraph" w:customStyle="1" w:styleId="2">
    <w:name w:val="項2"/>
    <w:basedOn w:val="a1"/>
    <w:rsid w:val="00020C41"/>
    <w:pPr>
      <w:numPr>
        <w:numId w:val="4"/>
      </w:numPr>
      <w:tabs>
        <w:tab w:val="clear" w:pos="425"/>
        <w:tab w:val="num" w:pos="480"/>
      </w:tabs>
      <w:spacing w:before="240" w:after="120" w:line="360" w:lineRule="atLeast"/>
      <w:ind w:left="480" w:firstLine="0"/>
      <w:jc w:val="both"/>
    </w:pPr>
    <w:rPr>
      <w:rFonts w:ascii="Arial" w:eastAsia="華康細圓體" w:hAnsi="Arial"/>
      <w:spacing w:val="14"/>
      <w:kern w:val="0"/>
      <w:sz w:val="20"/>
      <w:szCs w:val="20"/>
      <w:lang w:bidi="he-IL"/>
    </w:rPr>
  </w:style>
  <w:style w:type="paragraph" w:customStyle="1" w:styleId="ad">
    <w:name w:val="圖段"/>
    <w:basedOn w:val="10"/>
    <w:rsid w:val="00020C41"/>
    <w:pPr>
      <w:spacing w:before="240" w:after="240"/>
      <w:ind w:firstLineChars="0" w:firstLine="0"/>
      <w:jc w:val="center"/>
    </w:pPr>
  </w:style>
  <w:style w:type="paragraph" w:customStyle="1" w:styleId="ae">
    <w:name w:val="說明"/>
    <w:basedOn w:val="a1"/>
    <w:rsid w:val="00020C41"/>
    <w:pPr>
      <w:spacing w:before="240" w:after="240" w:line="360" w:lineRule="atLeast"/>
      <w:ind w:left="434" w:right="96" w:firstLine="434"/>
      <w:jc w:val="both"/>
    </w:pPr>
    <w:rPr>
      <w:rFonts w:ascii="Arial" w:eastAsia="華康細黑體" w:hAnsi="Arial"/>
      <w:w w:val="110"/>
      <w:sz w:val="20"/>
      <w:szCs w:val="20"/>
    </w:rPr>
  </w:style>
  <w:style w:type="paragraph" w:styleId="af">
    <w:name w:val="header"/>
    <w:basedOn w:val="a1"/>
    <w:link w:val="af0"/>
    <w:rsid w:val="00482F7E"/>
    <w:pPr>
      <w:tabs>
        <w:tab w:val="center" w:pos="4153"/>
        <w:tab w:val="right" w:pos="8306"/>
      </w:tabs>
      <w:snapToGrid w:val="0"/>
    </w:pPr>
    <w:rPr>
      <w:sz w:val="20"/>
      <w:szCs w:val="20"/>
    </w:rPr>
  </w:style>
  <w:style w:type="character" w:customStyle="1" w:styleId="af0">
    <w:name w:val="頁首 字元"/>
    <w:basedOn w:val="a2"/>
    <w:link w:val="af"/>
    <w:rsid w:val="00482F7E"/>
    <w:rPr>
      <w:kern w:val="2"/>
    </w:rPr>
  </w:style>
  <w:style w:type="paragraph" w:styleId="af1">
    <w:name w:val="footer"/>
    <w:basedOn w:val="a1"/>
    <w:link w:val="af2"/>
    <w:rsid w:val="00482F7E"/>
    <w:pPr>
      <w:tabs>
        <w:tab w:val="center" w:pos="4153"/>
        <w:tab w:val="right" w:pos="8306"/>
      </w:tabs>
      <w:snapToGrid w:val="0"/>
    </w:pPr>
    <w:rPr>
      <w:sz w:val="20"/>
      <w:szCs w:val="20"/>
    </w:rPr>
  </w:style>
  <w:style w:type="character" w:customStyle="1" w:styleId="af2">
    <w:name w:val="頁尾 字元"/>
    <w:basedOn w:val="a2"/>
    <w:link w:val="af1"/>
    <w:rsid w:val="00482F7E"/>
    <w:rPr>
      <w:kern w:val="2"/>
    </w:rPr>
  </w:style>
  <w:style w:type="paragraph" w:styleId="af3">
    <w:name w:val="List Paragraph"/>
    <w:basedOn w:val="a1"/>
    <w:uiPriority w:val="34"/>
    <w:qFormat/>
    <w:rsid w:val="00DE6EBB"/>
    <w:pPr>
      <w:ind w:left="480"/>
    </w:pPr>
  </w:style>
  <w:style w:type="paragraph" w:styleId="af4">
    <w:name w:val="Balloon Text"/>
    <w:basedOn w:val="a1"/>
    <w:link w:val="af5"/>
    <w:rsid w:val="00530F65"/>
    <w:rPr>
      <w:rFonts w:asciiTheme="majorHAnsi" w:eastAsiaTheme="majorEastAsia" w:hAnsiTheme="majorHAnsi" w:cstheme="majorBidi"/>
      <w:sz w:val="18"/>
      <w:szCs w:val="18"/>
    </w:rPr>
  </w:style>
  <w:style w:type="character" w:customStyle="1" w:styleId="af5">
    <w:name w:val="註解方塊文字 字元"/>
    <w:basedOn w:val="a2"/>
    <w:link w:val="af4"/>
    <w:rsid w:val="00530F65"/>
    <w:rPr>
      <w:rFonts w:asciiTheme="majorHAnsi" w:eastAsiaTheme="majorEastAsia" w:hAnsiTheme="majorHAnsi" w:cstheme="maj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020C41"/>
    <w:pPr>
      <w:widowControl w:val="0"/>
    </w:pPr>
    <w:rPr>
      <w:kern w:val="2"/>
      <w:sz w:val="24"/>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0">
    <w:name w:val="大節"/>
    <w:basedOn w:val="a1"/>
    <w:rsid w:val="00020C41"/>
    <w:pPr>
      <w:pageBreakBefore/>
      <w:numPr>
        <w:ilvl w:val="1"/>
        <w:numId w:val="2"/>
      </w:numPr>
      <w:pBdr>
        <w:bottom w:val="thickThinSmallGap" w:sz="24" w:space="0" w:color="0083BE"/>
      </w:pBdr>
      <w:tabs>
        <w:tab w:val="clear" w:pos="992"/>
        <w:tab w:val="num" w:pos="960"/>
      </w:tabs>
      <w:adjustRightInd w:val="0"/>
      <w:snapToGrid w:val="0"/>
      <w:spacing w:afterLines="100"/>
      <w:ind w:left="960" w:hanging="480"/>
    </w:pPr>
    <w:rPr>
      <w:rFonts w:eastAsia="文鼎中明"/>
      <w:b/>
      <w:color w:val="0083BE"/>
      <w:sz w:val="32"/>
      <w:szCs w:val="32"/>
    </w:rPr>
  </w:style>
  <w:style w:type="paragraph" w:customStyle="1" w:styleId="a">
    <w:name w:val="小節"/>
    <w:basedOn w:val="a1"/>
    <w:rsid w:val="00020C41"/>
    <w:pPr>
      <w:numPr>
        <w:ilvl w:val="2"/>
        <w:numId w:val="2"/>
      </w:numPr>
      <w:tabs>
        <w:tab w:val="clear" w:pos="1134"/>
        <w:tab w:val="num" w:pos="1440"/>
      </w:tabs>
      <w:spacing w:beforeLines="100" w:afterLines="50"/>
      <w:ind w:left="1440" w:hanging="480"/>
    </w:pPr>
    <w:rPr>
      <w:rFonts w:eastAsia="華康中黑體"/>
      <w:b/>
      <w:color w:val="F7941D"/>
      <w:sz w:val="28"/>
      <w:szCs w:val="28"/>
    </w:rPr>
  </w:style>
  <w:style w:type="paragraph" w:customStyle="1" w:styleId="a5">
    <w:name w:val="小標"/>
    <w:basedOn w:val="a1"/>
    <w:rsid w:val="00020C41"/>
    <w:pPr>
      <w:spacing w:before="240" w:after="60"/>
      <w:ind w:left="425"/>
    </w:pPr>
    <w:rPr>
      <w:rFonts w:ascii="Arial Black" w:eastAsia="華康中黑體" w:hAnsi="Arial Black" w:cs="新細明體"/>
      <w:b/>
      <w:bCs/>
    </w:rPr>
  </w:style>
  <w:style w:type="paragraph" w:customStyle="1" w:styleId="a6">
    <w:name w:val="文字"/>
    <w:basedOn w:val="a1"/>
    <w:rsid w:val="00020C41"/>
    <w:pPr>
      <w:adjustRightInd w:val="0"/>
      <w:snapToGrid w:val="0"/>
      <w:spacing w:line="240" w:lineRule="atLeast"/>
      <w:jc w:val="both"/>
    </w:pPr>
    <w:rPr>
      <w:rFonts w:ascii="Arial" w:eastAsia="華康細黑體" w:hAnsi="Arial"/>
      <w:spacing w:val="6"/>
      <w:sz w:val="18"/>
      <w:szCs w:val="18"/>
    </w:rPr>
  </w:style>
  <w:style w:type="paragraph" w:customStyle="1" w:styleId="10">
    <w:name w:val="本文1"/>
    <w:basedOn w:val="a1"/>
    <w:rsid w:val="00020C41"/>
    <w:pPr>
      <w:spacing w:after="60" w:line="360" w:lineRule="atLeast"/>
      <w:ind w:firstLineChars="192" w:firstLine="192"/>
      <w:jc w:val="both"/>
    </w:pPr>
    <w:rPr>
      <w:rFonts w:ascii="Arial" w:eastAsia="華康細圓體" w:hAnsi="Arial"/>
      <w:spacing w:val="20"/>
      <w:sz w:val="20"/>
      <w:szCs w:val="20"/>
    </w:rPr>
  </w:style>
  <w:style w:type="paragraph" w:customStyle="1" w:styleId="a7">
    <w:name w:val="技巧"/>
    <w:basedOn w:val="a1"/>
    <w:rsid w:val="00020C41"/>
    <w:pPr>
      <w:pBdr>
        <w:top w:val="single" w:sz="12" w:space="1" w:color="99CC00"/>
        <w:bottom w:val="single" w:sz="12" w:space="1" w:color="99CC00"/>
      </w:pBdr>
      <w:shd w:val="clear" w:color="auto" w:fill="ECFADA"/>
      <w:tabs>
        <w:tab w:val="left" w:pos="851"/>
      </w:tabs>
      <w:spacing w:line="360" w:lineRule="atLeast"/>
      <w:ind w:leftChars="1" w:left="814" w:hangingChars="369" w:hanging="812"/>
      <w:jc w:val="both"/>
    </w:pPr>
    <w:rPr>
      <w:rFonts w:ascii="Arial" w:eastAsia="華康細黑體" w:hAnsi="Arial"/>
      <w:w w:val="110"/>
      <w:sz w:val="20"/>
      <w:szCs w:val="20"/>
    </w:rPr>
  </w:style>
  <w:style w:type="paragraph" w:customStyle="1" w:styleId="a8">
    <w:name w:val="步驟"/>
    <w:basedOn w:val="a1"/>
    <w:rsid w:val="00020C41"/>
    <w:pPr>
      <w:spacing w:after="60" w:line="360" w:lineRule="atLeast"/>
      <w:ind w:leftChars="192" w:left="192"/>
      <w:jc w:val="both"/>
    </w:pPr>
    <w:rPr>
      <w:rFonts w:ascii="Arial" w:eastAsia="華康細圓體" w:hAnsi="Arial"/>
      <w:spacing w:val="20"/>
      <w:sz w:val="20"/>
      <w:szCs w:val="20"/>
    </w:rPr>
  </w:style>
  <w:style w:type="paragraph" w:customStyle="1" w:styleId="a9">
    <w:name w:val="注意"/>
    <w:basedOn w:val="a1"/>
    <w:rsid w:val="00020C41"/>
    <w:pPr>
      <w:spacing w:beforeLines="100" w:after="240" w:line="360" w:lineRule="atLeast"/>
      <w:ind w:leftChars="413" w:left="991"/>
      <w:jc w:val="both"/>
    </w:pPr>
    <w:rPr>
      <w:rFonts w:ascii="Arial" w:eastAsia="華康細黑體" w:hAnsi="Arial"/>
      <w:w w:val="110"/>
      <w:sz w:val="20"/>
      <w:szCs w:val="20"/>
    </w:rPr>
  </w:style>
  <w:style w:type="table" w:styleId="aa">
    <w:name w:val="Table Grid"/>
    <w:basedOn w:val="a3"/>
    <w:rsid w:val="00020C41"/>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b">
    <w:name w:val="動手"/>
    <w:basedOn w:val="a1"/>
    <w:rsid w:val="00020C41"/>
    <w:pPr>
      <w:spacing w:after="120"/>
    </w:pPr>
  </w:style>
  <w:style w:type="character" w:customStyle="1" w:styleId="ac">
    <w:name w:val="專名"/>
    <w:basedOn w:val="a2"/>
    <w:rsid w:val="00020C41"/>
    <w:rPr>
      <w:rFonts w:ascii="Arial Black" w:eastAsia="華康粗圓體" w:hAnsi="Arial Black"/>
      <w:color w:val="00A1E4"/>
      <w:sz w:val="20"/>
      <w:szCs w:val="20"/>
    </w:rPr>
  </w:style>
  <w:style w:type="paragraph" w:customStyle="1" w:styleId="1">
    <w:name w:val="項1"/>
    <w:basedOn w:val="a1"/>
    <w:rsid w:val="00020C41"/>
    <w:pPr>
      <w:numPr>
        <w:numId w:val="3"/>
      </w:numPr>
      <w:tabs>
        <w:tab w:val="clear" w:pos="758"/>
        <w:tab w:val="num" w:pos="960"/>
        <w:tab w:val="left" w:pos="993"/>
      </w:tabs>
      <w:spacing w:after="80" w:line="360" w:lineRule="atLeast"/>
      <w:ind w:left="960"/>
      <w:jc w:val="both"/>
    </w:pPr>
    <w:rPr>
      <w:rFonts w:ascii="Arial" w:eastAsia="華康細圓體" w:hAnsi="Arial"/>
      <w:spacing w:val="20"/>
      <w:kern w:val="0"/>
      <w:sz w:val="20"/>
      <w:szCs w:val="20"/>
      <w:lang w:bidi="he-IL"/>
    </w:rPr>
  </w:style>
  <w:style w:type="paragraph" w:customStyle="1" w:styleId="2">
    <w:name w:val="項2"/>
    <w:basedOn w:val="a1"/>
    <w:rsid w:val="00020C41"/>
    <w:pPr>
      <w:numPr>
        <w:numId w:val="4"/>
      </w:numPr>
      <w:tabs>
        <w:tab w:val="clear" w:pos="425"/>
        <w:tab w:val="num" w:pos="480"/>
      </w:tabs>
      <w:spacing w:before="240" w:after="120" w:line="360" w:lineRule="atLeast"/>
      <w:ind w:left="480" w:firstLine="0"/>
      <w:jc w:val="both"/>
    </w:pPr>
    <w:rPr>
      <w:rFonts w:ascii="Arial" w:eastAsia="華康細圓體" w:hAnsi="Arial"/>
      <w:spacing w:val="14"/>
      <w:kern w:val="0"/>
      <w:sz w:val="20"/>
      <w:szCs w:val="20"/>
      <w:lang w:bidi="he-IL"/>
    </w:rPr>
  </w:style>
  <w:style w:type="paragraph" w:customStyle="1" w:styleId="ad">
    <w:name w:val="圖段"/>
    <w:basedOn w:val="10"/>
    <w:rsid w:val="00020C41"/>
    <w:pPr>
      <w:spacing w:before="240" w:after="240"/>
      <w:ind w:firstLineChars="0" w:firstLine="0"/>
      <w:jc w:val="center"/>
    </w:pPr>
  </w:style>
  <w:style w:type="paragraph" w:customStyle="1" w:styleId="ae">
    <w:name w:val="說明"/>
    <w:basedOn w:val="a1"/>
    <w:rsid w:val="00020C41"/>
    <w:pPr>
      <w:spacing w:before="240" w:after="240" w:line="360" w:lineRule="atLeast"/>
      <w:ind w:left="434" w:right="96" w:firstLine="434"/>
      <w:jc w:val="both"/>
    </w:pPr>
    <w:rPr>
      <w:rFonts w:ascii="Arial" w:eastAsia="華康細黑體" w:hAnsi="Arial"/>
      <w:w w:val="110"/>
      <w:sz w:val="20"/>
      <w:szCs w:val="20"/>
    </w:rPr>
  </w:style>
  <w:style w:type="paragraph" w:styleId="af">
    <w:name w:val="header"/>
    <w:basedOn w:val="a1"/>
    <w:link w:val="af0"/>
    <w:rsid w:val="00482F7E"/>
    <w:pPr>
      <w:tabs>
        <w:tab w:val="center" w:pos="4153"/>
        <w:tab w:val="right" w:pos="8306"/>
      </w:tabs>
      <w:snapToGrid w:val="0"/>
    </w:pPr>
    <w:rPr>
      <w:sz w:val="20"/>
      <w:szCs w:val="20"/>
    </w:rPr>
  </w:style>
  <w:style w:type="character" w:customStyle="1" w:styleId="af0">
    <w:name w:val="頁首 字元"/>
    <w:basedOn w:val="a2"/>
    <w:link w:val="af"/>
    <w:rsid w:val="00482F7E"/>
    <w:rPr>
      <w:kern w:val="2"/>
    </w:rPr>
  </w:style>
  <w:style w:type="paragraph" w:styleId="af1">
    <w:name w:val="footer"/>
    <w:basedOn w:val="a1"/>
    <w:link w:val="af2"/>
    <w:rsid w:val="00482F7E"/>
    <w:pPr>
      <w:tabs>
        <w:tab w:val="center" w:pos="4153"/>
        <w:tab w:val="right" w:pos="8306"/>
      </w:tabs>
      <w:snapToGrid w:val="0"/>
    </w:pPr>
    <w:rPr>
      <w:sz w:val="20"/>
      <w:szCs w:val="20"/>
    </w:rPr>
  </w:style>
  <w:style w:type="character" w:customStyle="1" w:styleId="af2">
    <w:name w:val="頁尾 字元"/>
    <w:basedOn w:val="a2"/>
    <w:link w:val="af1"/>
    <w:rsid w:val="00482F7E"/>
    <w:rPr>
      <w:kern w:val="2"/>
    </w:rPr>
  </w:style>
  <w:style w:type="paragraph" w:styleId="af3">
    <w:name w:val="List Paragraph"/>
    <w:basedOn w:val="a1"/>
    <w:uiPriority w:val="34"/>
    <w:qFormat/>
    <w:rsid w:val="00DE6EBB"/>
    <w:pPr>
      <w:ind w:left="480"/>
    </w:pPr>
  </w:style>
  <w:style w:type="paragraph" w:styleId="af4">
    <w:name w:val="Balloon Text"/>
    <w:basedOn w:val="a1"/>
    <w:link w:val="af5"/>
    <w:rsid w:val="00530F65"/>
    <w:rPr>
      <w:rFonts w:asciiTheme="majorHAnsi" w:eastAsiaTheme="majorEastAsia" w:hAnsiTheme="majorHAnsi" w:cstheme="majorBidi"/>
      <w:sz w:val="18"/>
      <w:szCs w:val="18"/>
    </w:rPr>
  </w:style>
  <w:style w:type="character" w:customStyle="1" w:styleId="af5">
    <w:name w:val="註解方塊文字 字元"/>
    <w:basedOn w:val="a2"/>
    <w:link w:val="af4"/>
    <w:rsid w:val="00530F65"/>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jpeg"/></Relationships>
</file>

<file path=word/theme/_rels/theme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沉穩">
  <a:themeElements>
    <a:clrScheme name="沉穩">
      <a:dk1>
        <a:sysClr val="windowText" lastClr="000000"/>
      </a:dk1>
      <a:lt1>
        <a:sysClr val="window" lastClr="FFFFFF"/>
      </a:lt1>
      <a:dk2>
        <a:srgbClr val="676A55"/>
      </a:dk2>
      <a:lt2>
        <a:srgbClr val="EAEBDE"/>
      </a:lt2>
      <a:accent1>
        <a:srgbClr val="72A376"/>
      </a:accent1>
      <a:accent2>
        <a:srgbClr val="B0CCB0"/>
      </a:accent2>
      <a:accent3>
        <a:srgbClr val="A8CDD7"/>
      </a:accent3>
      <a:accent4>
        <a:srgbClr val="C0BEAF"/>
      </a:accent4>
      <a:accent5>
        <a:srgbClr val="CEC597"/>
      </a:accent5>
      <a:accent6>
        <a:srgbClr val="E8B7B7"/>
      </a:accent6>
      <a:hlink>
        <a:srgbClr val="DB5353"/>
      </a:hlink>
      <a:folHlink>
        <a:srgbClr val="903638"/>
      </a:folHlink>
    </a:clrScheme>
    <a:fontScheme name="沉穩">
      <a:majorFont>
        <a:latin typeface="Rockwell"/>
        <a:ea typeface=""/>
        <a:cs typeface=""/>
        <a:font script="Grek" typeface="Cambria"/>
        <a:font script="Cyrl" typeface="Cambria"/>
        <a:font script="Jpan" typeface="HG明朝B"/>
        <a:font script="Hang" typeface="바탕"/>
        <a:font script="Hans" typeface="方正姚体"/>
        <a:font script="Hant" typeface="微軟正黑體"/>
        <a:font script="Arab" typeface="Times New Roman"/>
        <a:font script="Hebr" typeface="David"/>
        <a:font script="Thai" typeface="Jasmine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Rockwell"/>
        <a:ea typeface=""/>
        <a:cs typeface=""/>
        <a:font script="Grek" typeface="Cambria"/>
        <a:font script="Cyrl" typeface="Cambria"/>
        <a:font script="Jpan" typeface="HG明朝B"/>
        <a:font script="Hang" typeface="바탕"/>
        <a:font script="Hans" typeface="方正姚体"/>
        <a:font script="Hant" typeface="標楷體"/>
        <a:font script="Arab" typeface="Times New Roman"/>
        <a:font script="Hebr" typeface="David"/>
        <a:font script="Thai" typeface="Jasmine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沉穩">
      <a:fillStyleLst>
        <a:solidFill>
          <a:schemeClr val="phClr"/>
        </a:solidFill>
        <a:gradFill rotWithShape="1">
          <a:gsLst>
            <a:gs pos="0">
              <a:schemeClr val="phClr">
                <a:tint val="70000"/>
                <a:satMod val="180000"/>
              </a:schemeClr>
            </a:gs>
            <a:gs pos="62000">
              <a:schemeClr val="phClr">
                <a:tint val="30000"/>
                <a:satMod val="180000"/>
              </a:schemeClr>
            </a:gs>
            <a:gs pos="100000">
              <a:schemeClr val="phClr">
                <a:tint val="22000"/>
                <a:satMod val="180000"/>
              </a:schemeClr>
            </a:gs>
          </a:gsLst>
          <a:lin ang="16200000" scaled="0"/>
        </a:gradFill>
        <a:gradFill rotWithShape="1">
          <a:gsLst>
            <a:gs pos="0">
              <a:schemeClr val="phClr">
                <a:shade val="58000"/>
                <a:satMod val="150000"/>
              </a:schemeClr>
            </a:gs>
            <a:gs pos="72000">
              <a:schemeClr val="phClr">
                <a:tint val="90000"/>
                <a:satMod val="135000"/>
              </a:schemeClr>
            </a:gs>
            <a:gs pos="100000">
              <a:schemeClr val="phClr">
                <a:tint val="80000"/>
                <a:satMod val="155000"/>
              </a:schemeClr>
            </a:gs>
          </a:gsLst>
          <a:lin ang="16200000" scaled="0"/>
        </a:gradFill>
      </a:fillStyleLst>
      <a:lnStyleLst>
        <a:ln w="9525" cap="flat" cmpd="sng" algn="ctr">
          <a:solidFill>
            <a:schemeClr val="phClr">
              <a:shade val="80000"/>
            </a:schemeClr>
          </a:solidFill>
          <a:prstDash val="solid"/>
        </a:ln>
        <a:ln w="38100" cap="flat" cmpd="sng" algn="ctr">
          <a:solidFill>
            <a:schemeClr val="phClr"/>
          </a:solidFill>
          <a:prstDash val="solid"/>
        </a:ln>
        <a:ln w="38100" cap="flat" cmpd="sng" algn="ctr">
          <a:solidFill>
            <a:schemeClr val="phClr"/>
          </a:solidFill>
          <a:prstDash val="solid"/>
        </a:ln>
      </a:lnStyleLst>
      <a:effectStyleLst>
        <a:effectStyle>
          <a:effectLst>
            <a:outerShdw blurRad="50800" dist="38100" dir="5400000" rotWithShape="0">
              <a:srgbClr val="000000">
                <a:alpha val="43137"/>
              </a:srgbClr>
            </a:outerShdw>
          </a:effectLst>
        </a:effectStyle>
        <a:effectStyle>
          <a:effectLst>
            <a:outerShdw blurRad="50800" dist="38100" dir="5400000" rotWithShape="0">
              <a:srgbClr val="000000">
                <a:alpha val="43137"/>
              </a:srgbClr>
            </a:outerShdw>
          </a:effectLst>
        </a:effectStyle>
        <a:effectStyle>
          <a:effectLst>
            <a:outerShdw blurRad="50800" dist="38100" dir="5400000" rotWithShape="0">
              <a:srgbClr val="000000">
                <a:alpha val="43137"/>
              </a:srgbClr>
            </a:outerShdw>
          </a:effectLst>
          <a:scene3d>
            <a:camera prst="orthographicFront" fov="0">
              <a:rot lat="0" lon="0" rev="0"/>
            </a:camera>
            <a:lightRig rig="soft" dir="tl">
              <a:rot lat="0" lon="0" rev="20000000"/>
            </a:lightRig>
          </a:scene3d>
          <a:sp3d prstMaterial="matte">
            <a:bevelT w="63500" h="63500" prst="coolSlant"/>
          </a:sp3d>
        </a:effectStyle>
      </a:effectStyleLst>
      <a:bgFillStyleLst>
        <a:solidFill>
          <a:schemeClr val="phClr"/>
        </a:solidFill>
        <a:gradFill rotWithShape="1">
          <a:gsLst>
            <a:gs pos="0">
              <a:schemeClr val="phClr">
                <a:tint val="75000"/>
                <a:satMod val="400000"/>
              </a:schemeClr>
            </a:gs>
            <a:gs pos="20000">
              <a:schemeClr val="phClr">
                <a:tint val="80000"/>
                <a:satMod val="355000"/>
              </a:schemeClr>
            </a:gs>
            <a:gs pos="100000">
              <a:schemeClr val="phClr">
                <a:tint val="95000"/>
                <a:shade val="55000"/>
                <a:satMod val="355000"/>
              </a:schemeClr>
            </a:gs>
          </a:gsLst>
          <a:path path="circle">
            <a:fillToRect l="67500" t="35000" r="32500" b="65000"/>
          </a:path>
        </a:gradFill>
        <a:blipFill>
          <a:blip xmlns:r="http://schemas.openxmlformats.org/officeDocument/2006/relationships" r:embed="rId1">
            <a:duotone>
              <a:schemeClr val="phClr">
                <a:shade val="30000"/>
                <a:satMod val="120000"/>
              </a:schemeClr>
              <a:schemeClr val="phClr">
                <a:tint val="70000"/>
                <a:satMod val="250000"/>
              </a:schemeClr>
            </a:duotone>
          </a:blip>
          <a:tile tx="0" ty="0" sx="50000" sy="50000" flip="none" algn="t"/>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8BDCB8-BC7A-4E2C-8261-07385DF0CF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280</Words>
  <Characters>1599</Characters>
  <Application>Microsoft Office Word</Application>
  <DocSecurity>0</DocSecurity>
  <Lines>13</Lines>
  <Paragraphs>3</Paragraphs>
  <ScaleCrop>false</ScaleCrop>
  <Company>CMT</Company>
  <LinksUpToDate>false</LinksUpToDate>
  <CharactersWithSpaces>1876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勞工退休金條例</dc:title>
  <dc:creator>sharon</dc:creator>
  <cp:lastModifiedBy>Windows 使用者</cp:lastModifiedBy>
  <cp:revision>2</cp:revision>
  <dcterms:created xsi:type="dcterms:W3CDTF">2010-03-12T08:23:00Z</dcterms:created>
  <dcterms:modified xsi:type="dcterms:W3CDTF">2010-03-12T08:23:00Z</dcterms:modified>
</cp:coreProperties>
</file>